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7CFD" w:rsidRPr="00017A78" w:rsidRDefault="00061DF7" w:rsidP="00017A78">
      <w:pPr>
        <w:pStyle w:val="Bodytext30"/>
        <w:widowControl/>
        <w:shd w:val="clear" w:color="auto" w:fill="auto"/>
        <w:spacing w:after="38" w:line="240" w:lineRule="auto"/>
        <w:jc w:val="both"/>
        <w:rPr>
          <w:rFonts w:ascii="Times New Roman" w:hAnsi="Times New Roman" w:cs="Times New Roman"/>
        </w:rPr>
      </w:pPr>
      <w:bookmarkStart w:id="0" w:name="_GoBack"/>
      <w:bookmarkEnd w:id="0"/>
      <w:r>
        <w:rPr>
          <w:rFonts w:ascii="Times New Roman" w:hAnsi="Times New Roman"/>
        </w:rPr>
        <w:t>Ilmastotoimien simulointi: Perinteinen energiahuolto</w:t>
      </w:r>
    </w:p>
    <w:p w:rsidR="0010014B" w:rsidRPr="001A1525" w:rsidRDefault="001A1525" w:rsidP="00017A78">
      <w:pPr>
        <w:pStyle w:val="Bodytext30"/>
        <w:widowControl/>
        <w:shd w:val="clear" w:color="auto" w:fill="auto"/>
        <w:spacing w:after="38" w:line="240" w:lineRule="auto"/>
        <w:rPr>
          <w:rFonts w:ascii="Times New Roman" w:hAnsi="Times New Roman" w:cs="Times New Roman"/>
          <w:sz w:val="20"/>
          <w:szCs w:val="20"/>
          <w:lang w:val="en-GB"/>
        </w:rPr>
      </w:pPr>
      <w:r w:rsidRPr="001A1525">
        <w:rPr>
          <w:rFonts w:ascii="Times New Roman" w:hAnsi="Times New Roman" w:cs="Times New Roman"/>
          <w:noProof/>
          <w:sz w:val="20"/>
          <w:szCs w:val="20"/>
          <w:lang w:val="en-GB" w:eastAsia="en-GB" w:bidi="ar-SA"/>
        </w:rPr>
        <mc:AlternateContent>
          <mc:Choice Requires="wps">
            <w:drawing>
              <wp:anchor distT="0" distB="0" distL="114300" distR="114300" simplePos="0" relativeHeight="251659264" behindDoc="1" locked="0" layoutInCell="0" allowOverlap="1">
                <wp:simplePos x="0" y="0"/>
                <wp:positionH relativeFrom="page">
                  <wp:posOffset>6769100</wp:posOffset>
                </wp:positionH>
                <wp:positionV relativeFrom="page">
                  <wp:posOffset>10081260</wp:posOffset>
                </wp:positionV>
                <wp:extent cx="647700" cy="396240"/>
                <wp:effectExtent l="0" t="3810" r="3175" b="0"/>
                <wp:wrapNone/>
                <wp:docPr id="17"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1525" w:rsidRPr="00260E65" w:rsidRDefault="001A1525">
                            <w:pPr>
                              <w:jc w:val="center"/>
                              <w:rPr>
                                <w:rFonts w:ascii="Arial" w:hAnsi="Arial" w:cs="Arial"/>
                                <w:b/>
                                <w:bCs/>
                                <w:sz w:val="48"/>
                                <w:lang w:val="nl-BE"/>
                              </w:rPr>
                            </w:pPr>
                            <w:r>
                              <w:rPr>
                                <w:rFonts w:ascii="Arial" w:hAnsi="Arial" w:cs="Arial"/>
                                <w:b/>
                                <w:bCs/>
                                <w:sz w:val="48"/>
                                <w:lang w:val="nl-BE"/>
                              </w:rPr>
                              <w:t>FI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0" o:spid="_x0000_s1026" type="#_x0000_t202" style="position:absolute;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BEBtw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" o:allowincell="f" filled="f" stroked="f">
                <v:textbox>
                  <w:txbxContent>
                    <w:p w:rsidR="001A1525" w:rsidRPr="00260E65" w:rsidRDefault="001A1525">
                      <w:pPr>
                        <w:jc w:val="center"/>
                        <w:rPr>
                          <w:rFonts w:ascii="Arial" w:hAnsi="Arial" w:cs="Arial"/>
                          <w:b/>
                          <w:bCs/>
                          <w:sz w:val="48"/>
                          <w:lang w:val="nl-BE"/>
                        </w:rPr>
                      </w:pPr>
                      <w:r>
                        <w:rPr>
                          <w:rFonts w:ascii="Arial" w:hAnsi="Arial" w:cs="Arial"/>
                          <w:b/>
                          <w:bCs/>
                          <w:sz w:val="48"/>
                          <w:lang w:val="nl-BE"/>
                        </w:rPr>
                        <w:t>FI</w:t>
                      </w:r>
                    </w:p>
                  </w:txbxContent>
                </v:textbox>
                <w10:wrap anchorx="page" anchory="page"/>
              </v:shape>
            </w:pict>
          </mc:Fallback>
        </mc:AlternateContent>
      </w:r>
    </w:p>
    <w:p w:rsidR="00EA7CFD" w:rsidRPr="00017A78" w:rsidRDefault="00061DF7" w:rsidP="00017A78">
      <w:pPr>
        <w:pStyle w:val="Bodytext40"/>
        <w:widowControl/>
        <w:shd w:val="clear" w:color="auto" w:fill="auto"/>
        <w:tabs>
          <w:tab w:val="left" w:pos="1440"/>
        </w:tabs>
        <w:spacing w:line="240" w:lineRule="auto"/>
      </w:pPr>
      <w:r>
        <w:t>Vastaan</w:t>
      </w:r>
      <w:r>
        <w:softHyphen/>
        <w:t>ottaja:</w:t>
      </w:r>
      <w:r>
        <w:tab/>
        <w:t>Perinteisen energiateollisuuden pääneuvottelijat</w:t>
      </w:r>
    </w:p>
    <w:p w:rsidR="00EA7CFD" w:rsidRPr="00017A78" w:rsidRDefault="00061DF7" w:rsidP="00017A78">
      <w:pPr>
        <w:pStyle w:val="Bodytext40"/>
        <w:widowControl/>
        <w:shd w:val="clear" w:color="auto" w:fill="auto"/>
        <w:tabs>
          <w:tab w:val="left" w:pos="1440"/>
        </w:tabs>
        <w:spacing w:after="120" w:line="240" w:lineRule="auto"/>
      </w:pPr>
      <w:r>
        <w:t>Aihe:</w:t>
      </w:r>
      <w:r>
        <w:tab/>
        <w:t>Ilmastohuippukokouksen valmistelu</w:t>
      </w:r>
    </w:p>
    <w:p w:rsidR="00EA7CFD" w:rsidRPr="00017A78" w:rsidRDefault="00061DF7" w:rsidP="00017A78">
      <w:pPr>
        <w:pStyle w:val="Bodytext20"/>
        <w:widowControl/>
        <w:shd w:val="clear" w:color="auto" w:fill="auto"/>
        <w:spacing w:before="0" w:after="120" w:line="240" w:lineRule="auto"/>
        <w:ind w:firstLine="0"/>
        <w:jc w:val="both"/>
      </w:pPr>
      <w:r>
        <w:t xml:space="preserve">Tervetuloa ilmastohuippukokoukseen. YK:n pääsihteeri on kutsunut teidät ja kaikkien asiaankuuluvien sidosryhmien johtajat tekemään yhteistyötä ilmastonmuutoksen torjumiseksi. Kutsussa pääsihteeri </w:t>
      </w:r>
      <w:r>
        <w:rPr>
          <w:rStyle w:val="Bodytext21"/>
        </w:rPr>
        <w:t>totesi</w:t>
      </w:r>
      <w:r>
        <w:t xml:space="preserve"> seuraavaa: ”Ilmastokriisi on kilpajuoksu, jonka olemme häviämässä mutta jonka voimme vielä voittaa (...). Parhaan saatavilla olevan tieteellisen tietämyksen mukaan (...) yli 1,5 celsiusasteen lämpötilan nousu vahingoittaa merkittävästi ja peruuttamattomasti ekosysteemejä, joista olemme riippuvaisia (...). Tiede kertoo kuitenkin myös, ettei vielä ole liian myöhäistä.</w:t>
      </w:r>
      <w:r w:rsidR="00C03FA7">
        <w:t xml:space="preserve"> </w:t>
      </w:r>
      <w:r>
        <w:t>Voimme voittaa tämän kilpajuoksun (...). Se edellyttää kuitenkin perustavanlaatuisia muutoksia yhteiskunnan kaikilla osa-alueilla – siinä, miten kasvatamme elintarvikkeita ja käytämme maata, mitä polttoaineita käytämme liikenteessä ja miten tuotamme sähköä talouksillemme (...). Toimimalla yhdessä emme jätä ketään jälkeen.”</w:t>
      </w:r>
    </w:p>
    <w:p w:rsidR="00EA7CFD" w:rsidRPr="00017A78" w:rsidRDefault="00061DF7" w:rsidP="00017A78">
      <w:pPr>
        <w:pStyle w:val="Bodytext20"/>
        <w:widowControl/>
        <w:shd w:val="clear" w:color="auto" w:fill="auto"/>
        <w:spacing w:before="0" w:after="120" w:line="240" w:lineRule="auto"/>
        <w:ind w:firstLine="0"/>
        <w:jc w:val="both"/>
      </w:pPr>
      <w:r>
        <w:t xml:space="preserve">Huippukokouksen tavoitteena on luoda suunnitelma maapallon lämpenemisen rajoittamiseksi alle 2 celsiusasteeseen (3,6° F) esiteolliseen aikaan verrattuna ja pyrkiä 1,5 celsiusasteeseen (2,7° F). Nämä ovat Pariisin ilmastosopimuksessa virallisesti tunnustetut kansainväliset tavoitteet. </w:t>
      </w:r>
      <w:r>
        <w:rPr>
          <w:rStyle w:val="Bodytext21"/>
        </w:rPr>
        <w:t>Tieteellinen näyttö</w:t>
      </w:r>
      <w:r>
        <w:t xml:space="preserve"> on selvä: tämän rajan ylittävä lämpeneminen aiheuttaa katastrofaalisia ja peruuttamattomia vaikutuksia, jotka uhkaavat ihmisten terveyttä, hyvinvointia ja elämää kaikissa valtioissa.</w:t>
      </w:r>
    </w:p>
    <w:p w:rsidR="00EA7CFD" w:rsidRPr="00017A78" w:rsidRDefault="00061DF7" w:rsidP="00017A78">
      <w:pPr>
        <w:pStyle w:val="Bodytext20"/>
        <w:widowControl/>
        <w:shd w:val="clear" w:color="auto" w:fill="auto"/>
        <w:spacing w:before="0" w:after="120" w:line="240" w:lineRule="auto"/>
        <w:ind w:firstLine="0"/>
        <w:jc w:val="both"/>
      </w:pPr>
      <w:r>
        <w:t>Edustatte kivihiili-, öljy-, maakaasu-, ydinvoima- ja sähköalan teollisuutta, joka tuottaa nykyään suurimman osan maailman energiasta. Ryhmäänne kuuluu julkisesti noteerattuja ja kansallisia öljy- ja kaasualan yrityksiä, kivihiiliyhtiöitä, fossiilisia polttoaineita käyttäviä sähkölaitoksia sekä yrityksiä, jotka toimittavat palveluja ja laitteita näille toimialoille.</w:t>
      </w:r>
    </w:p>
    <w:p w:rsidR="00EA7CFD" w:rsidRPr="00017A78" w:rsidRDefault="00061DF7" w:rsidP="00017A78">
      <w:pPr>
        <w:pStyle w:val="Bodytext20"/>
        <w:widowControl/>
        <w:shd w:val="clear" w:color="auto" w:fill="auto"/>
        <w:spacing w:before="0" w:after="120" w:line="240" w:lineRule="auto"/>
        <w:ind w:firstLine="0"/>
        <w:jc w:val="both"/>
      </w:pPr>
      <w:r>
        <w:t>Seuraavassa luetellaan ryhmänne toimintapoliittiset painopisteet. Voitte kuitenkin ehdottaa mitä tahansa käytettävissä olevaa toimintapolitiikkaa tai estää sen.</w:t>
      </w:r>
    </w:p>
    <w:p w:rsidR="00EA7CFD" w:rsidRPr="00017A78" w:rsidRDefault="00061DF7" w:rsidP="00017A78">
      <w:pPr>
        <w:pStyle w:val="Bodytext20"/>
        <w:widowControl/>
        <w:numPr>
          <w:ilvl w:val="0"/>
          <w:numId w:val="1"/>
        </w:numPr>
        <w:shd w:val="clear" w:color="auto" w:fill="auto"/>
        <w:tabs>
          <w:tab w:val="left" w:pos="362"/>
        </w:tabs>
        <w:spacing w:before="0" w:after="120" w:line="240" w:lineRule="auto"/>
        <w:ind w:left="400" w:right="-1"/>
        <w:jc w:val="both"/>
      </w:pPr>
      <w:r>
        <w:rPr>
          <w:rStyle w:val="Bodytext2Bold"/>
        </w:rPr>
        <w:t xml:space="preserve">Vastustetaan hiilen korkeaa hintaa. </w:t>
      </w:r>
      <w:r>
        <w:t>Ekonomistinne myöntävät, että fossiilisten polttoaineiden hintojen nostaminen vastaamaan kasvihuonekaasupäästöjen sosiaalisia ja ympäristökustannuksia hiilen hinnoittelun avulla voisi olla paras tapa vähentää maailmanlaajuisia päästöjä. Jos hiilen hinta olisi yli 25–30 dollaria hiilidioksiditonnilta, se vahingoittaisi fossiilisten polttoaineiden alaa kohtuuttomasti nostamalla kustannuksia ja vähentämällä jyrkästi kysyntää, mikä johtaisi hukkainvestointeihin ja omistaja-arvon menetyksiin. Vaikka jotkin öljy-yhtiöt ilmoittavat julkisesti kannattavansa hiilen hinnoittelua, toimialanne rahoittaa edelleen poliitikkoja, jotka vastustavat sitä ja jarruttavat toimia. Ennakoitte muiden ryhmien painostavan teitä hiilen hinnoittelun käyttöön ottamiseksi. Vastustakaa voimakkaasti tällaista politiikkaa.</w:t>
      </w:r>
    </w:p>
    <w:p w:rsidR="00EA7CFD" w:rsidRPr="00017A78" w:rsidRDefault="00061DF7" w:rsidP="00017A78">
      <w:pPr>
        <w:pStyle w:val="Bodytext20"/>
        <w:widowControl/>
        <w:numPr>
          <w:ilvl w:val="0"/>
          <w:numId w:val="1"/>
        </w:numPr>
        <w:shd w:val="clear" w:color="auto" w:fill="auto"/>
        <w:tabs>
          <w:tab w:val="left" w:pos="362"/>
        </w:tabs>
        <w:spacing w:before="0" w:after="120" w:line="240" w:lineRule="auto"/>
        <w:ind w:left="400" w:right="-1"/>
        <w:jc w:val="both"/>
      </w:pPr>
      <w:r>
        <w:rPr>
          <w:rStyle w:val="Bodytext2Bold"/>
        </w:rPr>
        <w:t xml:space="preserve">Vastustetaan fossiilisten polttoaineiden veroja. </w:t>
      </w:r>
      <w:r>
        <w:t>Toimialanne ei halua, että sitä säännellään, eikä se halua maksaa ilmastonmuutoksen hillitsemisestä aiheutuvia kustannuksia. Koska jo nyt ennakoitte merkittäviä liiketoiminnan menetyksiä, kun maailma luopuu fossiilisten polttoaineiden käytöstä seuraavien sadan vuoden aikana, ette voi maksaa ylimääräisiä kustannuksia, jotka rankaisevat toimialaanne epäoikeudenmukaisesti. Voitte tosin pyytää tukea maakaasulle, jota markkinoitte siirtymäkauden polttoaineena, koska se on vähemmän hiili-intensiivistä kuin kivihiili ja öljy. Jos sääntelyä ei voida välttää, on parempi rajoittaa kivihiiltä kuin öljyä ja kaasua. Kivihiili aiheuttaa eniten hiilidioksidipäästöjä palaessaan, ja sen tuotanto on vähemmän kannattavaa kuin öljyn ja kaasun tuotanto.</w:t>
      </w:r>
    </w:p>
    <w:p w:rsidR="00934588" w:rsidRPr="00017A78" w:rsidRDefault="00934588" w:rsidP="00017A78">
      <w:pPr>
        <w:pStyle w:val="Bodytext20"/>
        <w:widowControl/>
        <w:numPr>
          <w:ilvl w:val="0"/>
          <w:numId w:val="1"/>
        </w:numPr>
        <w:shd w:val="clear" w:color="auto" w:fill="auto"/>
        <w:spacing w:before="0" w:after="120" w:line="240" w:lineRule="auto"/>
        <w:ind w:left="400" w:right="-1"/>
        <w:jc w:val="both"/>
      </w:pPr>
      <w:r>
        <w:rPr>
          <w:b/>
        </w:rPr>
        <w:t>Edistetään uusia teknologioita, kuten hiilenpoistoteknologiaa, hiilidioksidin talteenottoa ja varastointia sekä biopolttoaineita.</w:t>
      </w:r>
    </w:p>
    <w:p w:rsidR="00EA7CFD" w:rsidRPr="00F534AB" w:rsidRDefault="00061DF7" w:rsidP="00017A78">
      <w:pPr>
        <w:pStyle w:val="Bodytext20"/>
        <w:widowControl/>
        <w:shd w:val="clear" w:color="auto" w:fill="auto"/>
        <w:spacing w:before="0" w:after="120" w:line="240" w:lineRule="auto"/>
        <w:ind w:left="400" w:firstLine="0"/>
        <w:jc w:val="both"/>
      </w:pPr>
      <w:r>
        <w:t>Alanne tukee maakaasun ja biopolttoaineiden käytön lisäämistä sekä tutkimustyötä sellaisen hiilenpoistoteknologian kehittämiseksi, jolla poistetaan hiiltä ilmakehästä ja varastoidaan se maan alle.</w:t>
      </w:r>
      <w:r w:rsidR="00C03FA7">
        <w:rPr>
          <w:i/>
          <w:iCs/>
          <w:sz w:val="18"/>
          <w:szCs w:val="18"/>
        </w:rPr>
        <w:t xml:space="preserve"> </w:t>
      </w:r>
      <w:r w:rsidRPr="00C03FA7">
        <w:rPr>
          <w:iCs/>
        </w:rPr>
        <w:t xml:space="preserve">Ryhmänne asiantuntemusta suurista teknisistä rakenteista, geologiasta ja polttoainekuljetuksista voidaan soveltaa näihin polttoaineisiin ja teollisuudenaloihin. Tuette myös hiilen talteenottoa ja varastointia (CCS) kivihiili- ja muissa voimalaitoksissa, myös </w:t>
      </w:r>
      <w:r w:rsidRPr="00C03FA7">
        <w:rPr>
          <w:iCs/>
        </w:rPr>
        <w:lastRenderedPageBreak/>
        <w:t>biopolttoaineiden käyttöä CCS-tekniikkaan yhdistettynä.</w:t>
      </w:r>
      <w:r>
        <w:rPr>
          <w:i/>
          <w:iCs/>
          <w:sz w:val="18"/>
          <w:szCs w:val="18"/>
        </w:rPr>
        <w:t xml:space="preserve"> </w:t>
      </w:r>
      <w:r>
        <w:t>CCS-tekniikalla voitaisiin ottaa talteen 90 prosenttia fossiilisten polttoaineiden polttamisesta voimalaitoksissa ja teollisissa prosesseissa syntyvästä hiilidioksidista. Tämän jälkeen hiilidioksidi voidaan nesteyttää ja pumpata maan alle öljyn ja kaasun tuotannon tehostamiseksi tai – mikä on vähemmän kannattavaa – pumpata vakaisiin geologisiin varastoihin. Jos hiilenpoistoteknologiasta tulee toteuttamiskelpoista ja kilpailukykyistä, se auttaisi toimialaanne, koska hiilidioksidia voitaisiin tällöin poistaa ilmakehästä, mikä kompensoisi fossiilisten polttoaineiden jatkuvan käytön päästöjä.</w:t>
      </w:r>
    </w:p>
    <w:p w:rsidR="00EA7CFD" w:rsidRPr="00941B40" w:rsidRDefault="00061DF7" w:rsidP="00017A78">
      <w:pPr>
        <w:pStyle w:val="Bodytext20"/>
        <w:widowControl/>
        <w:numPr>
          <w:ilvl w:val="0"/>
          <w:numId w:val="1"/>
        </w:numPr>
        <w:shd w:val="clear" w:color="auto" w:fill="auto"/>
        <w:spacing w:before="0" w:after="120" w:line="240" w:lineRule="auto"/>
        <w:ind w:left="400" w:right="-1"/>
        <w:jc w:val="both"/>
      </w:pPr>
      <w:r>
        <w:rPr>
          <w:b/>
        </w:rPr>
        <w:t>Edistetään toimia, jotka eivät suoraan vaikuta toimialaanne.</w:t>
      </w:r>
      <w:r>
        <w:t xml:space="preserve"> Vaikka ymmärrätte ilmastonmuutoksen vaarallisuuden, teidän on myös suojeltava omistaja-arvoa. Siksi kannatatte toimia, joilla voitaisiin vähentää kasvihuonekaasupäästöjä vähentämättä fossiilisten polttoaineiden käyttöä. Vaikka fossiilisten polttoaineiden käytöstä syntyvä hiilidioksidi edistää eniten ilmastonmuutosta, metaani (CH</w:t>
      </w:r>
      <w:r>
        <w:rPr>
          <w:vertAlign w:val="subscript"/>
        </w:rPr>
        <w:t>4</w:t>
      </w:r>
      <w:r>
        <w:t xml:space="preserve">), </w:t>
      </w:r>
      <w:proofErr w:type="spellStart"/>
      <w:r>
        <w:t>dityppioksidi</w:t>
      </w:r>
      <w:proofErr w:type="spellEnd"/>
      <w:r>
        <w:t xml:space="preserve"> (N</w:t>
      </w:r>
      <w:r>
        <w:rPr>
          <w:vertAlign w:val="subscript"/>
        </w:rPr>
        <w:t>2</w:t>
      </w:r>
      <w:r>
        <w:t>O) ja muut kaasut ovat voimakkaita kasvihuonekaasuja ja niiden vaikutus kasvaa. Maailmanlaajuiset maa- ja metsätalouskäytännöt edistävät merkittävästi näiden kaasujen päästöjä. Tuette toimia näiden muiden kasvihuonekaasujen lähinnä maankäytöstä sekä maa- ja metsätaloudesta aiheutuvien päästöjen vähentämiseksi. Tuette toimia metsäkadon vähentämiseksi ja metsäkadosta ja heikentyneestä tilasta kärsivien maa-alueiden metsittämiseksi.</w:t>
      </w:r>
    </w:p>
    <w:p w:rsidR="00EA7CFD" w:rsidRPr="00017A78" w:rsidRDefault="00061DF7" w:rsidP="00017A78">
      <w:pPr>
        <w:pStyle w:val="Bodytext60"/>
        <w:widowControl/>
        <w:shd w:val="clear" w:color="auto" w:fill="auto"/>
        <w:spacing w:before="0" w:after="120" w:line="240" w:lineRule="auto"/>
      </w:pPr>
      <w:r>
        <w:t>Muita näkökohtia</w:t>
      </w:r>
    </w:p>
    <w:p w:rsidR="00EA7CFD" w:rsidRPr="00017A78" w:rsidRDefault="00061DF7" w:rsidP="00017A78">
      <w:pPr>
        <w:pStyle w:val="Bodytext20"/>
        <w:widowControl/>
        <w:shd w:val="clear" w:color="auto" w:fill="auto"/>
        <w:spacing w:before="0" w:after="120" w:line="240" w:lineRule="auto"/>
        <w:ind w:firstLine="0"/>
        <w:jc w:val="both"/>
      </w:pPr>
      <w:r>
        <w:t>Omat ilmastotieteen asiantuntijanne yhtyvät hallitustenvälisen ilmastonmuutospaneelin (IPCC) arvioon ilmastonmuutoksen uhasta. Teidän on kuitenkin tasapainotettava vaarallisen ilmastonmuutoksen ehkäisemisen välttämättömyys sekä keskeisten sidosryhmien, kuten osakkeenomistajien, työntekijöiden, yleisön (asiakkaiden) sekä toimilupanne myöntävien, toimialojanne sääntelevien ja toimintakustannuksiinne vaikuttavien poliittisten päättäjien, tarpeet samoin kuin henkilökohtaiset taloudelliset etunne näiden yritysten johtajina.</w:t>
      </w:r>
    </w:p>
    <w:p w:rsidR="00EA7CFD" w:rsidRPr="00017A78" w:rsidRDefault="00061DF7" w:rsidP="00017A78">
      <w:pPr>
        <w:pStyle w:val="Bodytext20"/>
        <w:widowControl/>
        <w:shd w:val="clear" w:color="auto" w:fill="auto"/>
        <w:spacing w:before="0" w:after="120" w:line="240" w:lineRule="auto"/>
        <w:ind w:firstLine="0"/>
        <w:jc w:val="both"/>
      </w:pPr>
      <w:r>
        <w:t>Perinteiset energialähteet, kuten fossiiliset polttoaineet ja ydinvoima, tuottavat yli 95 prosenttia maailman energiahuollosta. Alanne vain tarjoaa sitä, mitä kuluttajat haluavat, eikä sitä pitäisi syyttää tai rangaista ilmastonmuutoksesta. Fossiilisten polttoaineiden käytön vähentäminen voi olla kuluttajille ja taloudelle kallista lyhyellä aikavälillä. Suuressa osassa maailmaa fossiilisten polttoaineiden infrastruktuuri on jo olemassa, ja monissa kehitysmaissa uutta fossiilista energiakapasiteettia kehitetään edelleen nopeasti. Uusiutuvia energiamuotoja, kuten tuuli- ja aurinkoenergiaa, on saatavilla vaihtelevasti, eivätkä ne vielä pysty tuottamaan kaikkea maailmantalouden tarvitsemaa energiaa. Kantanne on, että fossiiliset polttoaineet ovat olennaisen tärkeitä ”energiaköyhyyden” poistamiseksi ja talouskasvun edistämiseksi erityisesti kehitysmaissa. Älkää antako ympäristöaktivistien leimata teitä ihmisiksi, jotka eivät välitä sosiaalisesta oikeudenmukaisuudesta.</w:t>
      </w:r>
    </w:p>
    <w:p w:rsidR="00EA7CFD" w:rsidRPr="00017A78" w:rsidRDefault="00061DF7" w:rsidP="00017A78">
      <w:pPr>
        <w:pStyle w:val="Bodytext20"/>
        <w:widowControl/>
        <w:shd w:val="clear" w:color="auto" w:fill="auto"/>
        <w:spacing w:before="0" w:after="120" w:line="240" w:lineRule="auto"/>
        <w:ind w:firstLine="0"/>
        <w:jc w:val="both"/>
      </w:pPr>
      <w:r>
        <w:t>Fossiilisten polttoaineiden tuottajat, mukaan lukien kivihiili-, öljy- ja kaasualan yritykset, joutuvat vakaviin taloudellisiin vaikeuksiin, jos toteutetaan toimia lämpenemisen rajoittamiseksi lähelle 2:ta celsiusastetta. Fossiilisista polttoaineista riippuvaisten yritysten on uudistuttava täysin tai lopetettava toimintansa. Lämpenemisen rajoittaminen 2 celsiusasteeseen tarkoittaa sitä, että suuri osa tunnetuista fossiilisista polttoainevaroista on pidettävä maassa ja niistä tulee arvotonta omaisuutta, joka ei koskaan tuota voittoa osakkeenomistajille tai hallituksille. Monia työpaikkoja menetetään.</w:t>
      </w:r>
    </w:p>
    <w:p w:rsidR="00934588" w:rsidRPr="001A1525" w:rsidRDefault="00061DF7" w:rsidP="00017A78">
      <w:pPr>
        <w:pStyle w:val="Bodytext20"/>
        <w:widowControl/>
        <w:shd w:val="clear" w:color="auto" w:fill="auto"/>
        <w:spacing w:before="0" w:after="120" w:line="240" w:lineRule="auto"/>
        <w:ind w:firstLine="0"/>
        <w:jc w:val="both"/>
      </w:pPr>
      <w:r>
        <w:t>Samalla kuitenkin tiedätte, että maailmanlaajuisia päästöjä on vähennettävä ilmastonmuutoksen pahimpien vaikutusten välttämiseksi. Merenpinnan nousu, äärimmäisten sääilmiöiden lisääntyminen ja niistä seuraavat geopoliittiset häiriöt aiheuttavat vakavia riskejä olemassa oleville energiavaroille ja maailmantaloudelle. Ilmastovahinkojen lisääntyminen lisää myös fossiilista teollisuutta vahingoittavien äärimmäisten toimien ja sääntelyn todennäköisyyttä. Samalla, kun toimitte tällaisten toimien ja säädösten estämiseksi, teidän on myös tutkittava, miten voitte hyödyntää infrastruktuurianne, rahoituspääomaanne ja asiantuntemustanne voidaksenne kilpailla – ja selviytyä – lämpenevässä maailmassa.</w:t>
      </w:r>
    </w:p>
    <w:p w:rsidR="00934588" w:rsidRPr="001A1525" w:rsidRDefault="00934588" w:rsidP="001A1525">
      <w:pPr>
        <w:widowControl/>
        <w:jc w:val="center"/>
      </w:pPr>
      <w:r>
        <w:t>_____________</w:t>
      </w:r>
    </w:p>
    <w:sectPr w:rsidR="00934588" w:rsidRPr="001A1525" w:rsidSect="00934588">
      <w:footerReference w:type="default" r:id="rId11"/>
      <w:pgSz w:w="11907" w:h="16840" w:code="9"/>
      <w:pgMar w:top="1417" w:right="1417" w:bottom="1417" w:left="1417" w:header="709" w:footer="709"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7579" w:rsidRDefault="00061DF7">
      <w:r>
        <w:separator/>
      </w:r>
    </w:p>
  </w:endnote>
  <w:endnote w:type="continuationSeparator" w:id="0">
    <w:p w:rsidR="00007579" w:rsidRDefault="00061D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588" w:rsidRPr="00C03FA7" w:rsidRDefault="00934588" w:rsidP="00934588">
    <w:pPr>
      <w:pStyle w:val="Footer"/>
      <w:spacing w:line="240" w:lineRule="auto"/>
      <w:rPr>
        <w:sz w:val="20"/>
        <w:szCs w:val="20"/>
      </w:rPr>
    </w:pPr>
    <w:r>
      <w:rPr>
        <w:i/>
        <w:sz w:val="20"/>
        <w:szCs w:val="20"/>
      </w:rPr>
      <w:t xml:space="preserve">Laatijat: </w:t>
    </w:r>
    <w:proofErr w:type="spellStart"/>
    <w:r>
      <w:rPr>
        <w:i/>
        <w:sz w:val="20"/>
        <w:szCs w:val="20"/>
      </w:rPr>
      <w:t>Climate</w:t>
    </w:r>
    <w:proofErr w:type="spellEnd"/>
    <w:r>
      <w:rPr>
        <w:i/>
        <w:sz w:val="20"/>
        <w:szCs w:val="20"/>
      </w:rPr>
      <w:t xml:space="preserve"> Interactive, MIT </w:t>
    </w:r>
    <w:proofErr w:type="spellStart"/>
    <w:r>
      <w:rPr>
        <w:i/>
        <w:sz w:val="20"/>
        <w:szCs w:val="20"/>
      </w:rPr>
      <w:t>Sloan</w:t>
    </w:r>
    <w:proofErr w:type="spellEnd"/>
    <w:r>
      <w:rPr>
        <w:i/>
        <w:sz w:val="20"/>
        <w:szCs w:val="20"/>
      </w:rPr>
      <w:t xml:space="preserve"> School of Management </w:t>
    </w:r>
    <w:proofErr w:type="spellStart"/>
    <w:r>
      <w:rPr>
        <w:i/>
        <w:sz w:val="20"/>
        <w:szCs w:val="20"/>
      </w:rPr>
      <w:t>Sustainability</w:t>
    </w:r>
    <w:proofErr w:type="spellEnd"/>
    <w:r>
      <w:rPr>
        <w:i/>
        <w:sz w:val="20"/>
        <w:szCs w:val="20"/>
      </w:rPr>
      <w:t xml:space="preserve"> </w:t>
    </w:r>
    <w:proofErr w:type="spellStart"/>
    <w:r>
      <w:rPr>
        <w:i/>
        <w:sz w:val="20"/>
        <w:szCs w:val="20"/>
      </w:rPr>
      <w:t>Initiative</w:t>
    </w:r>
    <w:proofErr w:type="spellEnd"/>
    <w:r>
      <w:rPr>
        <w:i/>
        <w:sz w:val="20"/>
        <w:szCs w:val="20"/>
      </w:rPr>
      <w:t xml:space="preserve">, ESB Business School ja </w:t>
    </w:r>
    <w:proofErr w:type="spellStart"/>
    <w:r>
      <w:rPr>
        <w:i/>
        <w:sz w:val="20"/>
        <w:szCs w:val="20"/>
      </w:rPr>
      <w:t>UMass</w:t>
    </w:r>
    <w:proofErr w:type="spellEnd"/>
    <w:r>
      <w:rPr>
        <w:i/>
        <w:sz w:val="20"/>
        <w:szCs w:val="20"/>
      </w:rPr>
      <w:t xml:space="preserve"> </w:t>
    </w:r>
    <w:proofErr w:type="spellStart"/>
    <w:r>
      <w:rPr>
        <w:i/>
        <w:sz w:val="20"/>
        <w:szCs w:val="20"/>
      </w:rPr>
      <w:t>Lowell</w:t>
    </w:r>
    <w:proofErr w:type="spellEnd"/>
    <w:r>
      <w:rPr>
        <w:i/>
        <w:sz w:val="20"/>
        <w:szCs w:val="20"/>
      </w:rPr>
      <w:t xml:space="preserve"> </w:t>
    </w:r>
    <w:proofErr w:type="spellStart"/>
    <w:r>
      <w:rPr>
        <w:i/>
        <w:sz w:val="20"/>
        <w:szCs w:val="20"/>
      </w:rPr>
      <w:t>Climate</w:t>
    </w:r>
    <w:proofErr w:type="spellEnd"/>
    <w:r>
      <w:rPr>
        <w:i/>
        <w:sz w:val="20"/>
        <w:szCs w:val="20"/>
      </w:rPr>
      <w:t xml:space="preserve"> </w:t>
    </w:r>
    <w:proofErr w:type="spellStart"/>
    <w:r>
      <w:rPr>
        <w:i/>
        <w:sz w:val="20"/>
        <w:szCs w:val="20"/>
      </w:rPr>
      <w:t>Change</w:t>
    </w:r>
    <w:proofErr w:type="spellEnd"/>
    <w:r>
      <w:rPr>
        <w:i/>
        <w:sz w:val="20"/>
        <w:szCs w:val="20"/>
      </w:rPr>
      <w:t xml:space="preserve"> </w:t>
    </w:r>
    <w:proofErr w:type="spellStart"/>
    <w:r>
      <w:rPr>
        <w:i/>
        <w:sz w:val="20"/>
        <w:szCs w:val="20"/>
      </w:rPr>
      <w:t>Initiative</w:t>
    </w:r>
    <w:proofErr w:type="spellEnd"/>
    <w:r>
      <w:rPr>
        <w:i/>
        <w:sz w:val="20"/>
        <w:szCs w:val="20"/>
      </w:rPr>
      <w:t xml:space="preserve">. Päivitetty viimeksi syyskuussa 2019. </w:t>
    </w:r>
    <w:hyperlink r:id="rId1" w:history="1">
      <w:r>
        <w:rPr>
          <w:rStyle w:val="Hyperlink"/>
          <w:i/>
          <w:sz w:val="20"/>
          <w:szCs w:val="20"/>
        </w:rPr>
        <w:t>www.climateinteractive.org</w:t>
      </w:r>
    </w:hyperlink>
    <w:r>
      <w:rPr>
        <w:i/>
        <w:sz w:val="20"/>
        <w:szCs w:val="20"/>
      </w:rPr>
      <w:t xml:space="preserve"> </w:t>
    </w:r>
    <w:r w:rsidR="00C03FA7">
      <w:rPr>
        <w:sz w:val="20"/>
        <w:szCs w:val="20"/>
      </w:rPr>
      <w:t>Käännetty ja tarkastettu komitean ulkopuolella.</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7CFD" w:rsidRDefault="00EA7CFD"/>
  </w:footnote>
  <w:footnote w:type="continuationSeparator" w:id="0">
    <w:p w:rsidR="00EA7CFD" w:rsidRDefault="00EA7CFD"/>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F67507"/>
    <w:multiLevelType w:val="multilevel"/>
    <w:tmpl w:val="D7A450A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7CFD"/>
    <w:rsid w:val="00007579"/>
    <w:rsid w:val="00017A78"/>
    <w:rsid w:val="00061DF7"/>
    <w:rsid w:val="000F4045"/>
    <w:rsid w:val="0010014B"/>
    <w:rsid w:val="001A1525"/>
    <w:rsid w:val="001C401E"/>
    <w:rsid w:val="002A3890"/>
    <w:rsid w:val="00565AD4"/>
    <w:rsid w:val="00934588"/>
    <w:rsid w:val="00941B40"/>
    <w:rsid w:val="009C54B9"/>
    <w:rsid w:val="00B66DC1"/>
    <w:rsid w:val="00B75ADD"/>
    <w:rsid w:val="00C03FA7"/>
    <w:rsid w:val="00DF6E68"/>
    <w:rsid w:val="00EA7CFD"/>
    <w:rsid w:val="00F534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DC00F8-EF71-4896-9F43-567DB0A2E362}"/>
  <w:attachedTemplate r:id="relationI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fi-FI"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3">
    <w:name w:val="Body text|3_"/>
    <w:basedOn w:val="DefaultParagraphFont"/>
    <w:link w:val="Bodytext30"/>
    <w:rPr>
      <w:rFonts w:ascii="Arial" w:eastAsia="Arial" w:hAnsi="Arial" w:cs="Arial"/>
      <w:b/>
      <w:bCs/>
      <w:i w:val="0"/>
      <w:iCs w:val="0"/>
      <w:smallCaps w:val="0"/>
      <w:strike w:val="0"/>
      <w:sz w:val="36"/>
      <w:szCs w:val="36"/>
      <w:u w:val="none"/>
    </w:rPr>
  </w:style>
  <w:style w:type="character" w:customStyle="1" w:styleId="Heading11">
    <w:name w:val="Heading #1|1_"/>
    <w:basedOn w:val="DefaultParagraphFont"/>
    <w:link w:val="Heading110"/>
    <w:rPr>
      <w:b/>
      <w:bCs/>
      <w:i w:val="0"/>
      <w:iCs w:val="0"/>
      <w:smallCaps w:val="0"/>
      <w:strike w:val="0"/>
      <w:sz w:val="102"/>
      <w:szCs w:val="102"/>
      <w:u w:val="none"/>
    </w:rPr>
  </w:style>
  <w:style w:type="character" w:customStyle="1" w:styleId="Heading1142pt">
    <w:name w:val="Heading #1|1 + 42 pt"/>
    <w:basedOn w:val="Heading11"/>
    <w:semiHidden/>
    <w:unhideWhenUsed/>
    <w:rPr>
      <w:rFonts w:ascii="Times New Roman" w:eastAsia="Times New Roman" w:hAnsi="Times New Roman" w:cs="Times New Roman"/>
      <w:b/>
      <w:bCs/>
      <w:i w:val="0"/>
      <w:iCs w:val="0"/>
      <w:smallCaps w:val="0"/>
      <w:strike w:val="0"/>
      <w:color w:val="000000"/>
      <w:spacing w:val="0"/>
      <w:w w:val="100"/>
      <w:position w:val="0"/>
      <w:sz w:val="84"/>
      <w:szCs w:val="84"/>
      <w:u w:val="none"/>
      <w:lang w:val="fi-FI" w:eastAsia="el-GR" w:bidi="el-GR"/>
    </w:rPr>
  </w:style>
  <w:style w:type="character" w:customStyle="1" w:styleId="Bodytext4">
    <w:name w:val="Body text|4_"/>
    <w:basedOn w:val="DefaultParagraphFont"/>
    <w:link w:val="Bodytext4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fi-FI"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fi-FI"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fi-FI"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fi-FI" w:eastAsia="en-US" w:bidi="en-US"/>
    </w:rPr>
  </w:style>
  <w:style w:type="character" w:customStyle="1" w:styleId="Bodytext5">
    <w:name w:val="Body text|5_"/>
    <w:basedOn w:val="DefaultParagraphFont"/>
    <w:link w:val="Bodytext50"/>
    <w:rPr>
      <w:rFonts w:ascii="Arial" w:eastAsia="Arial" w:hAnsi="Arial" w:cs="Arial"/>
      <w:b w:val="0"/>
      <w:bCs w:val="0"/>
      <w:i/>
      <w:iCs/>
      <w:smallCaps w:val="0"/>
      <w:strike w:val="0"/>
      <w:sz w:val="18"/>
      <w:szCs w:val="18"/>
      <w:u w:val="none"/>
    </w:rPr>
  </w:style>
  <w:style w:type="character" w:customStyle="1" w:styleId="Bodytext6">
    <w:name w:val="Body text|6_"/>
    <w:basedOn w:val="DefaultParagraphFont"/>
    <w:link w:val="Bodytext60"/>
    <w:rPr>
      <w:b/>
      <w:bCs/>
      <w:i w:val="0"/>
      <w:iCs w:val="0"/>
      <w:smallCaps w:val="0"/>
      <w:strike w:val="0"/>
      <w:sz w:val="22"/>
      <w:szCs w:val="22"/>
      <w:u w:val="none"/>
    </w:rPr>
  </w:style>
  <w:style w:type="character" w:customStyle="1" w:styleId="Bodytext6NotBold">
    <w:name w:val="Body text|6 + Not Bold"/>
    <w:basedOn w:val="Bodytext6"/>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fi-FI" w:eastAsia="en-US" w:bidi="en-US"/>
    </w:rPr>
  </w:style>
  <w:style w:type="paragraph" w:customStyle="1" w:styleId="Bodytext30">
    <w:name w:val="Body text|3"/>
    <w:basedOn w:val="Normal"/>
    <w:link w:val="Bodytext3"/>
    <w:pPr>
      <w:shd w:val="clear" w:color="auto" w:fill="FFFFFF"/>
      <w:spacing w:after="620" w:line="402" w:lineRule="exact"/>
    </w:pPr>
    <w:rPr>
      <w:rFonts w:ascii="Arial" w:eastAsia="Arial" w:hAnsi="Arial" w:cs="Arial"/>
      <w:b/>
      <w:bCs/>
      <w:sz w:val="36"/>
      <w:szCs w:val="36"/>
    </w:rPr>
  </w:style>
  <w:style w:type="paragraph" w:customStyle="1" w:styleId="Heading110">
    <w:name w:val="Heading #1|1"/>
    <w:basedOn w:val="Normal"/>
    <w:link w:val="Heading11"/>
    <w:qFormat/>
    <w:pPr>
      <w:shd w:val="clear" w:color="auto" w:fill="FFFFFF"/>
      <w:spacing w:before="620" w:line="1130" w:lineRule="exact"/>
      <w:jc w:val="center"/>
      <w:outlineLvl w:val="0"/>
    </w:pPr>
    <w:rPr>
      <w:b/>
      <w:bCs/>
      <w:sz w:val="102"/>
      <w:szCs w:val="102"/>
    </w:rPr>
  </w:style>
  <w:style w:type="paragraph" w:customStyle="1" w:styleId="Bodytext40">
    <w:name w:val="Body text|4"/>
    <w:basedOn w:val="Normal"/>
    <w:link w:val="Bodytext4"/>
    <w:pPr>
      <w:shd w:val="clear" w:color="auto" w:fill="FFFFFF"/>
      <w:spacing w:line="269" w:lineRule="exact"/>
      <w:jc w:val="both"/>
    </w:pPr>
    <w:rPr>
      <w:b/>
      <w:bCs/>
      <w:sz w:val="22"/>
      <w:szCs w:val="22"/>
    </w:rPr>
  </w:style>
  <w:style w:type="paragraph" w:customStyle="1" w:styleId="Bodytext20">
    <w:name w:val="Body text|2"/>
    <w:basedOn w:val="Normal"/>
    <w:link w:val="Bodytext2"/>
    <w:qFormat/>
    <w:pPr>
      <w:shd w:val="clear" w:color="auto" w:fill="FFFFFF"/>
      <w:spacing w:before="120" w:line="269" w:lineRule="exact"/>
      <w:ind w:hanging="400"/>
    </w:pPr>
    <w:rPr>
      <w:sz w:val="22"/>
      <w:szCs w:val="22"/>
    </w:rPr>
  </w:style>
  <w:style w:type="paragraph" w:customStyle="1" w:styleId="Bodytext50">
    <w:name w:val="Body text|5"/>
    <w:basedOn w:val="Normal"/>
    <w:link w:val="Bodytext5"/>
    <w:pPr>
      <w:shd w:val="clear" w:color="auto" w:fill="FFFFFF"/>
      <w:spacing w:before="280" w:line="206" w:lineRule="exact"/>
    </w:pPr>
    <w:rPr>
      <w:rFonts w:ascii="Arial" w:eastAsia="Arial" w:hAnsi="Arial" w:cs="Arial"/>
      <w:i/>
      <w:iCs/>
      <w:sz w:val="18"/>
      <w:szCs w:val="18"/>
    </w:rPr>
  </w:style>
  <w:style w:type="paragraph" w:customStyle="1" w:styleId="Bodytext60">
    <w:name w:val="Body text|6"/>
    <w:basedOn w:val="Normal"/>
    <w:link w:val="Bodytext6"/>
    <w:pPr>
      <w:shd w:val="clear" w:color="auto" w:fill="FFFFFF"/>
      <w:spacing w:before="120" w:line="269" w:lineRule="exact"/>
    </w:pPr>
    <w:rPr>
      <w:b/>
      <w:bCs/>
      <w:sz w:val="22"/>
      <w:szCs w:val="22"/>
    </w:rPr>
  </w:style>
  <w:style w:type="paragraph" w:styleId="Header">
    <w:name w:val="header"/>
    <w:basedOn w:val="Normal"/>
    <w:link w:val="HeaderChar"/>
    <w:uiPriority w:val="99"/>
    <w:unhideWhenUsed/>
    <w:rsid w:val="0010014B"/>
    <w:pPr>
      <w:spacing w:line="288" w:lineRule="auto"/>
      <w:jc w:val="both"/>
    </w:pPr>
    <w:rPr>
      <w:sz w:val="22"/>
    </w:rPr>
  </w:style>
  <w:style w:type="character" w:customStyle="1" w:styleId="HeaderChar">
    <w:name w:val="Header Char"/>
    <w:basedOn w:val="DefaultParagraphFont"/>
    <w:link w:val="Header"/>
    <w:uiPriority w:val="99"/>
    <w:rsid w:val="0010014B"/>
    <w:rPr>
      <w:color w:val="000000"/>
      <w:sz w:val="22"/>
    </w:rPr>
  </w:style>
  <w:style w:type="paragraph" w:styleId="Footer">
    <w:name w:val="footer"/>
    <w:basedOn w:val="Normal"/>
    <w:link w:val="FooterChar"/>
    <w:uiPriority w:val="99"/>
    <w:unhideWhenUsed/>
    <w:rsid w:val="0010014B"/>
    <w:pPr>
      <w:spacing w:line="288" w:lineRule="auto"/>
      <w:jc w:val="both"/>
    </w:pPr>
    <w:rPr>
      <w:sz w:val="22"/>
    </w:rPr>
  </w:style>
  <w:style w:type="character" w:customStyle="1" w:styleId="FooterChar">
    <w:name w:val="Footer Char"/>
    <w:basedOn w:val="DefaultParagraphFont"/>
    <w:link w:val="Footer"/>
    <w:uiPriority w:val="99"/>
    <w:rsid w:val="0010014B"/>
    <w:rPr>
      <w:color w:val="000000"/>
      <w:sz w:val="22"/>
    </w:rPr>
  </w:style>
  <w:style w:type="character" w:styleId="Hyperlink">
    <w:name w:val="Hyperlink"/>
    <w:basedOn w:val="DefaultParagraphFont"/>
    <w:uiPriority w:val="99"/>
    <w:unhideWhenUsed/>
    <w:rsid w:val="0093458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ntTable" Target="fontTable.xml"/><Relationship Id="rId17" Type="http://schemas.openxmlformats.org/officeDocument/2006/relationships/customXml" Target="../customXml/item4.xml"/><Relationship Id="rId16" Type="http://schemas.openxmlformats.org/officeDocument/2006/relationships/customXml" Target="../customXml/item3.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customXml" Target="../customXml/item2.xml"/><Relationship Id="rId10" Type="http://schemas.openxmlformats.org/officeDocument/2006/relationships/endnotes" Target="endnotes.xml"/><Relationship Id="rId9" Type="http://schemas.openxmlformats.org/officeDocument/2006/relationships/footnotes" Target="footnotes.xml"/><Relationship Id="rId14" Type="http://schemas.openxmlformats.org/officeDocument/2006/relationships/customXml" Target="../customXml/item1.xml"/></Relationships>
</file>

<file path=word/_rels/footer1.xml.rels><?xml version="1.0" encoding="UTF-8" standalone="yes"?>
<Relationships xmlns="http://schemas.openxmlformats.org/package/2006/relationships"><Relationship Id="rId1" Type="http://schemas.openxmlformats.org/officeDocument/2006/relationships/hyperlink" Target="http://www.climateinteractive.org" TargetMode="External"/></Relationships>
</file>

<file path=word/_rels/settings.xml.rels>&#65279;<?xml version="1.0" encoding="utf-8"?><Relationships xmlns="http://schemas.openxmlformats.org/package/2006/relationships"><Relationship Type="http://schemas.openxmlformats.org/officeDocument/2006/relationships/attachedTemplate" Target="Normal.dotm" TargetMode="External" Id="relationId"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CTJJHAUHWN5E-644613129-2756</_dlc_DocId>
    <_dlc_DocIdUrl xmlns="bfc960a6-20da-4c94-8684-71380fca093b">
      <Url>http://dm2016/eesc/2019/_layouts/15/DocIdRedir.aspx?ID=CTJJHAUHWN5E-644613129-2756</Url>
      <Description>CTJJHAUHWN5E-644613129-2756</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2019-12-09T12:00:00+00:00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TaxCatchAll xmlns="bfc960a6-20da-4c94-8684-71380fca093b">
      <Value>162</Value>
      <Value>246</Value>
      <Value>154</Value>
      <Value>64</Value>
      <Value>63</Value>
      <Value>62</Value>
      <Value>59</Value>
      <Value>56</Value>
      <Value>55</Value>
      <Value>52</Value>
      <Value>49</Value>
      <Value>48</Value>
      <Value>46</Value>
      <Value>45</Value>
      <Value>38</Value>
      <Value>153</Value>
      <Value>25</Value>
      <Value>21</Value>
      <Value>17</Value>
      <Value>152</Value>
      <Value>11</Value>
      <Value>7</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FI</TermName>
          <TermId xmlns="http://schemas.microsoft.com/office/infopath/2007/PartnerControls">87606a43-d45f-42d6-b8c9-e1a3457db5b7</TermId>
        </TermInfo>
      </Terms>
    </DocumentLanguage_0>
    <MeetingDate xmlns="bfc960a6-20da-4c94-8684-71380fca093b" xsi:nil="true"/>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11384</FicheNumber>
    <DocumentPart xmlns="bfc960a6-20da-4c94-8684-71380fca093b">1</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C63AB592-8AF6-4D3A-AA8B-1892D1567305}"/>
</file>

<file path=customXml/itemProps2.xml><?xml version="1.0" encoding="utf-8"?>
<ds:datastoreItem xmlns:ds="http://schemas.openxmlformats.org/officeDocument/2006/customXml" ds:itemID="{7C9105AD-B3F6-4871-9E48-B1268389AA41}"/>
</file>

<file path=customXml/itemProps3.xml><?xml version="1.0" encoding="utf-8"?>
<ds:datastoreItem xmlns:ds="http://schemas.openxmlformats.org/officeDocument/2006/customXml" ds:itemID="{9EE72DF8-63BA-4799-B658-B41A962760E4}"/>
</file>

<file path=customXml/itemProps4.xml><?xml version="1.0" encoding="utf-8"?>
<ds:datastoreItem xmlns:ds="http://schemas.openxmlformats.org/officeDocument/2006/customXml" ds:itemID="{9D410E40-3072-4AFF-B321-F7421CCD4631}"/>
</file>

<file path=docProps/app.xml><?xml version="1.0" encoding="utf-8"?>
<Properties xmlns="http://schemas.openxmlformats.org/officeDocument/2006/extended-properties" xmlns:vt="http://schemas.openxmlformats.org/officeDocument/2006/docPropsVTypes">
  <Template>Normal.dotm</Template>
  <TotalTime>0</TotalTime>
  <Pages>2</Pages>
  <Words>1287</Words>
  <Characters>7340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YEYS 2020 - Työasiakirjat - Ryhmä 6C - Perinteinen energiahuolto</vt:lpstr>
    </vt:vector>
  </TitlesOfParts>
  <Company>EESC-ECOR</Company>
  <LinksUpToDate>false</LinksUpToDate>
  <CharactersWithSpaces>8610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Työasiakirjat - Ryhmä 2 - Perinteinen energiahuolto</dc:title>
  <dc:subject>Tiedotusaineisto</dc:subject>
  <dc:creator>Venalainen Eeva</dc:creator>
  <cp:keywords>EESC-2019-05163-01-00-INFO-TRA-EN</cp:keywords>
  <dc:description>Rapporteur:  - Original language: EN - Date of document: 09/12/2019 - Date of meeting:  - External documents:  - Administrator: MME LAHOUSSE Chloé</dc:description>
  <cp:lastModifiedBy>Eeva Venäläinen</cp:lastModifiedBy>
  <cp:revision>2</cp:revision>
  <cp:lastPrinted>2019-12-09T14:14:00Z</cp:lastPrinted>
  <dcterms:created xsi:type="dcterms:W3CDTF">2019-12-09T15:08:00Z</dcterms:created>
  <dcterms:modified xsi:type="dcterms:W3CDTF">2019-12-09T15:08:00Z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14/11/2019</vt:lpwstr>
  </property>
  <property fmtid="{D5CDD505-2E9C-101B-9397-08002B2CF9AE}" pid="4" name="Pref_Time">
    <vt:lpwstr>08:03:13, 17:09:52</vt:lpwstr>
  </property>
  <property fmtid="{D5CDD505-2E9C-101B-9397-08002B2CF9AE}" pid="5" name="Pref_User">
    <vt:lpwstr>enied, htoo</vt:lpwstr>
  </property>
  <property fmtid="{D5CDD505-2E9C-101B-9397-08002B2CF9AE}" pid="6" name="Pref_FileName">
    <vt:lpwstr>EESC-2019-05163-01-00-INFO-TRA-EN-CRR.docx, EESC-2019-05163-01-00-INFO-CRR-EN.docx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4a7e4394-0e15-4315-a151-410d72a33491</vt:lpwstr>
  </property>
  <property fmtid="{D5CDD505-2E9C-101B-9397-08002B2CF9AE}" pid="9" name="AvailableTranslations">
    <vt:lpwstr>55;#BG|1a1b3951-7821-4e6a-85f5-5673fc08bd2c;#25;#SK|46d9fce0-ef79-4f71-b89b-cd6aa82426b8;#21;#IT|0774613c-01ed-4e5d-a25d-11d2388de825;#38;#SV|c2ed69e7-a339-43d7-8f22-d93680a92aa0;#49;#EL|6d4f4d51-af9b-4650-94b4-4276bee85c91;#62;#FI|87606a43-d45f-42d6-b8c9-e1a3457db5b7;#152;#MK|34ce48bb-063e-4413-a932-50853dc71c5c;#46;#CS|72f9705b-0217-4fd3-bea2-cbc7ed80e26e;#48;#LT|a7ff5ce7-6123-4f68-865a-a57c31810414;#64;#PT|50ccc04a-eadd-42ae-a0cb-acaf45f812ba;#45;#NL|55c6556c-b4f4-441d-9acf-c498d4f838bd;#162;#TR|6e4ededd-04c4-4fa0-94e0-1028050302d5;#63;#MT|7df99101-6854-4a26-b53a-b88c0da02c26;#52;#DA|5d49c027-8956-412b-aa16-e85a0f96ad0e;#17;#ES|e7a6b05b-ae16-40c8-add9-68b64b03aeba;#246;#ME|925b3da5-5ac0-4b3c-928c-6ef66a5c9b3c;#59;#HR|2f555653-ed1a-4fe6-8362-9082d95989e5;#153;#SR|7f3a1d13-b985-4bfd-981e-afe31377edff;#4;#EN|f2175f21-25d7-44a3-96da-d6a61b075e1b;#154;#SQ|5ac17240-8d11-45ec-9893-659b209d7a00;#56;#SL|98a412ae-eb01-49e9-ae3d-585a81724cfc</vt:lpwstr>
  </property>
  <property fmtid="{D5CDD505-2E9C-101B-9397-08002B2CF9AE}" pid="10" name="DocumentType_0">
    <vt:lpwstr>INFO|d9136e7c-93a9-4c42-9d28-92b61e85f80c</vt:lpwstr>
  </property>
  <property fmtid="{D5CDD505-2E9C-101B-9397-08002B2CF9AE}" pid="12" name="DocumentSource_0">
    <vt:lpwstr>EESC|422833ec-8d7e-4e65-8e4e-8bed07ffb729</vt:lpwstr>
  </property>
  <property fmtid="{D5CDD505-2E9C-101B-9397-08002B2CF9AE}" pid="13" name="ProductionDate">
    <vt:filetime>2019-12-09T12:00:00Z</vt:filetime>
  </property>
  <property fmtid="{D5CDD505-2E9C-101B-9397-08002B2CF9AE}" pid="14" name="FicheYear">
    <vt:i4>2019</vt:i4>
  </property>
  <property fmtid="{D5CDD505-2E9C-101B-9397-08002B2CF9AE}" pid="15" name="DocumentNumber">
    <vt:i4>5163</vt:i4>
  </property>
  <property fmtid="{D5CDD505-2E9C-101B-9397-08002B2CF9AE}" pid="16" name="DocumentVersion">
    <vt:i4>0</vt:i4>
  </property>
  <property fmtid="{D5CDD505-2E9C-101B-9397-08002B2CF9AE}" pid="17" name="DocumentStatus">
    <vt:lpwstr>2;#TRA|150d2a88-1431-44e6-a8ca-0bb753ab8672</vt:lpwstr>
  </property>
  <property fmtid="{D5CDD505-2E9C-101B-9397-08002B2CF9AE}" pid="18" name="DossierName">
    <vt:lpwstr/>
  </property>
  <property fmtid="{D5CDD505-2E9C-101B-9397-08002B2CF9AE}" pid="20" name="Confidentiality_0">
    <vt:lpwstr>Unrestricted|826e22d7-d029-4ec0-a450-0c28ff673572</vt:lpwstr>
  </property>
  <property fmtid="{D5CDD505-2E9C-101B-9397-08002B2CF9AE}" pid="21" name="Confidentiality">
    <vt:lpwstr>5;#Unrestricted|826e22d7-d029-4ec0-a450-0c28ff673572</vt:lpwstr>
  </property>
  <property fmtid="{D5CDD505-2E9C-101B-9397-08002B2CF9AE}" pid="22" name="OriginalLanguage">
    <vt:lpwstr>4;#EN|f2175f21-25d7-44a3-96da-d6a61b075e1b</vt:lpwstr>
  </property>
  <property fmtid="{D5CDD505-2E9C-101B-9397-08002B2CF9AE}" pid="23" name="MeetingName">
    <vt:lpwstr/>
  </property>
  <property fmtid="{D5CDD505-2E9C-101B-9397-08002B2CF9AE}" pid="25" name="TaxCatchAll">
    <vt:lpwstr>48;#LT|a7ff5ce7-6123-4f68-865a-a57c31810414;#152;#MK|34ce48bb-063e-4413-a932-50853dc71c5c;#1;#EESC|422833ec-8d7e-4e65-8e4e-8bed07ffb729;#153;#SR|7f3a1d13-b985-4bfd-981e-afe31377edff;#64;#PT|50ccc04a-eadd-42ae-a0cb-acaf45f812ba;#63;#MT|7df99101-6854-4a26-b53a-b88c0da02c26;#62;#FI|87606a43-d45f-42d6-b8c9-e1a3457db5b7;#246;#ME|925b3da5-5ac0-4b3c-928c-6ef66a5c9b3c;#59;#HR|2f555653-ed1a-4fe6-8362-9082d95989e5;#21;#IT|0774613c-01ed-4e5d-a25d-11d2388de825;#56;#SL|98a412ae-eb01-49e9-ae3d-585a81724cfc;#55;#BG|1a1b3951-7821-4e6a-85f5-5673fc08bd2c;#17;#ES|e7a6b05b-ae16-40c8-add9-68b64b03aeba;#52;#DA|5d49c027-8956-412b-aa16-e85a0f96ad0e;#162;#TR|6e4ededd-04c4-4fa0-94e0-1028050302d5;#49;#EL|6d4f4d51-af9b-4650-94b4-4276bee85c91;#11;#INFO|d9136e7c-93a9-4c42-9d28-92b61e85f80c;#46;#CS|72f9705b-0217-4fd3-bea2-cbc7ed80e26e;#45;#NL|55c6556c-b4f4-441d-9acf-c498d4f838bd;#7;#Final|ea5e6674-7b27-4bac-b091-73adbb394efe;#154;#SQ|5ac17240-8d11-45ec-9893-659b209d7a00;#5;#Unrestricted|826e22d7-d029-4ec0-a450-0c28ff673572;#4;#EN|f2175f21-25d7-44a3-96da-d6a61b075e1b;#2;#TRA|150d2a88-1431-44e6-a8ca-0bb753ab8672;#38;#SV|c2ed69e7-a339-43d7-8f22-d93680a92aa0;#25;#SK|46d9fce0-ef79-4f71-b89b-cd6aa82426b8</vt:lpwstr>
  </property>
  <property fmtid="{D5CDD505-2E9C-101B-9397-08002B2CF9AE}" pid="26" name="DocumentLanguage_0">
    <vt:lpwstr>FI|87606a43-d45f-42d6-b8c9-e1a3457db5b7</vt:lpwstr>
  </property>
  <property fmtid="{D5CDD505-2E9C-101B-9397-08002B2CF9AE}" pid="27" name="VersionStatus_0">
    <vt:lpwstr>Final|ea5e6674-7b27-4bac-b091-73adbb394efe</vt:lpwstr>
  </property>
  <property fmtid="{D5CDD505-2E9C-101B-9397-08002B2CF9AE}" pid="28" name="VersionStatus">
    <vt:lpwstr>7;#Final|ea5e6674-7b27-4bac-b091-73adbb394efe</vt:lpwstr>
  </property>
  <property fmtid="{D5CDD505-2E9C-101B-9397-08002B2CF9AE}" pid="30" name="DocumentYear">
    <vt:i4>2019</vt:i4>
  </property>
  <property fmtid="{D5CDD505-2E9C-101B-9397-08002B2CF9AE}" pid="31" name="FicheNumber">
    <vt:i4>11384</vt:i4>
  </property>
  <property fmtid="{D5CDD505-2E9C-101B-9397-08002B2CF9AE}" pid="32" name="DocumentPart">
    <vt:i4>1</vt:i4>
  </property>
  <property fmtid="{D5CDD505-2E9C-101B-9397-08002B2CF9AE}" pid="33" name="DocumentSource">
    <vt:lpwstr>1;#EESC|422833ec-8d7e-4e65-8e4e-8bed07ffb729</vt:lpwstr>
  </property>
  <property fmtid="{D5CDD505-2E9C-101B-9397-08002B2CF9AE}" pid="35" name="DocumentType">
    <vt:lpwstr>11;#INFO|d9136e7c-93a9-4c42-9d28-92b61e85f80c</vt:lpwstr>
  </property>
  <property fmtid="{D5CDD505-2E9C-101B-9397-08002B2CF9AE}" pid="36" name="RequestingService">
    <vt:lpwstr>Visites / Publications</vt:lpwstr>
  </property>
  <property fmtid="{D5CDD505-2E9C-101B-9397-08002B2CF9AE}" pid="37" name="MeetingName_0">
    <vt:lpwstr/>
  </property>
  <property fmtid="{D5CDD505-2E9C-101B-9397-08002B2CF9AE}" pid="38" name="DocumentLanguage">
    <vt:lpwstr>62;#FI|87606a43-d45f-42d6-b8c9-e1a3457db5b7</vt:lpwstr>
  </property>
  <property fmtid="{D5CDD505-2E9C-101B-9397-08002B2CF9AE}" pid="39" name="AvailableTranslations_0">
    <vt:lpwstr>BG|1a1b3951-7821-4e6a-85f5-5673fc08bd2c;SK|46d9fce0-ef79-4f71-b89b-cd6aa82426b8;IT|0774613c-01ed-4e5d-a25d-11d2388de825;SV|c2ed69e7-a339-43d7-8f22-d93680a92aa0;EL|6d4f4d51-af9b-4650-94b4-4276bee85c91;FI|87606a43-d45f-42d6-b8c9-e1a3457db5b7;MK|34ce48bb-063e-4413-a932-50853dc71c5c;CS|72f9705b-0217-4fd3-bea2-cbc7ed80e26e;LT|a7ff5ce7-6123-4f68-865a-a57c31810414;PT|50ccc04a-eadd-42ae-a0cb-acaf45f812ba;NL|55c6556c-b4f4-441d-9acf-c498d4f838bd;TR|6e4ededd-04c4-4fa0-94e0-1028050302d5;MT|7df99101-6854-4a26-b53a-b88c0da02c26;DA|5d49c027-8956-412b-aa16-e85a0f96ad0e;ES|e7a6b05b-ae16-40c8-add9-68b64b03aeba;ME|925b3da5-5ac0-4b3c-928c-6ef66a5c9b3c;HR|2f555653-ed1a-4fe6-8362-9082d95989e5;SR|7f3a1d13-b985-4bfd-981e-afe31377edff;EN|f2175f21-25d7-44a3-96da-d6a61b075e1b;SQ|5ac17240-8d11-45ec-9893-659b209d7a00;SL|98a412ae-eb01-49e9-ae3d-585a81724cfc</vt:lpwstr>
  </property>
  <property fmtid="{D5CDD505-2E9C-101B-9397-08002B2CF9AE}" pid="40" name="DocumentStatus_0">
    <vt:lpwstr>TRA|150d2a88-1431-44e6-a8ca-0bb753ab8672</vt:lpwstr>
  </property>
  <property fmtid="{D5CDD505-2E9C-101B-9397-08002B2CF9AE}" pid="41" name="OriginalLanguage_0">
    <vt:lpwstr>EN|f2175f21-25d7-44a3-96da-d6a61b075e1b</vt:lpwstr>
  </property>
  <property fmtid="{D5CDD505-2E9C-101B-9397-08002B2CF9AE}" pid="43" name="DossierName_0">
    <vt:lpwstr/>
  </property>
</Properties>
</file>